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C4" w:rsidRPr="00A809D5" w:rsidRDefault="00F670C4" w:rsidP="00F670C4">
      <w:pPr>
        <w:spacing w:line="280" w:lineRule="exact"/>
        <w:jc w:val="center"/>
        <w:rPr>
          <w:rFonts w:asciiTheme="minorHAnsi" w:hAnsiTheme="minorHAnsi"/>
          <w:b/>
          <w:sz w:val="30"/>
          <w:szCs w:val="30"/>
          <w:lang w:val="ru-RU"/>
        </w:rPr>
      </w:pPr>
      <w:r w:rsidRPr="00F670C4">
        <w:rPr>
          <w:b/>
          <w:sz w:val="30"/>
          <w:szCs w:val="30"/>
          <w:lang w:val="ru-RU"/>
        </w:rPr>
        <w:t>О травматизме на производстве в первом полугодии 2019 года</w:t>
      </w:r>
      <w:r w:rsidR="00A809D5">
        <w:rPr>
          <w:rFonts w:asciiTheme="minorHAnsi" w:hAnsiTheme="minorHAnsi"/>
          <w:b/>
          <w:sz w:val="30"/>
          <w:szCs w:val="30"/>
          <w:lang w:val="ru-RU"/>
        </w:rPr>
        <w:t xml:space="preserve"> </w:t>
      </w:r>
      <w:r w:rsidR="00A809D5" w:rsidRPr="00A809D5">
        <w:rPr>
          <w:rFonts w:ascii="Times New Roman" w:hAnsi="Times New Roman"/>
          <w:b/>
          <w:sz w:val="30"/>
          <w:szCs w:val="30"/>
          <w:lang w:val="ru-RU"/>
        </w:rPr>
        <w:t>по Гродненской области</w:t>
      </w:r>
      <w:r w:rsidR="00A809D5">
        <w:rPr>
          <w:rFonts w:asciiTheme="minorHAnsi" w:hAnsiTheme="minorHAnsi"/>
          <w:b/>
          <w:sz w:val="30"/>
          <w:szCs w:val="30"/>
          <w:lang w:val="ru-RU"/>
        </w:rPr>
        <w:t xml:space="preserve"> </w:t>
      </w:r>
    </w:p>
    <w:p w:rsidR="00F670C4" w:rsidRPr="00F670C4" w:rsidRDefault="00F670C4" w:rsidP="00F670C4">
      <w:pPr>
        <w:spacing w:line="280" w:lineRule="exact"/>
        <w:jc w:val="center"/>
        <w:rPr>
          <w:sz w:val="30"/>
          <w:szCs w:val="30"/>
          <w:lang w:val="ru-RU"/>
        </w:rPr>
      </w:pPr>
    </w:p>
    <w:p w:rsidR="00F670C4" w:rsidRPr="00F670C4" w:rsidRDefault="00F670C4" w:rsidP="00F670C4">
      <w:pPr>
        <w:tabs>
          <w:tab w:val="left" w:pos="4500"/>
        </w:tabs>
        <w:ind w:firstLine="709"/>
        <w:jc w:val="both"/>
        <w:rPr>
          <w:sz w:val="30"/>
          <w:szCs w:val="30"/>
          <w:lang w:val="ru-RU"/>
        </w:rPr>
      </w:pPr>
      <w:proofErr w:type="gramStart"/>
      <w:r w:rsidRPr="00F670C4">
        <w:rPr>
          <w:sz w:val="30"/>
          <w:szCs w:val="30"/>
          <w:lang w:val="ru-RU"/>
        </w:rPr>
        <w:t>В рамках взаимодействия по реализации государственной политики в области охраны труда направляем оперативные данные Департамента государственной инспекции труда Министерства труда и социальной защиты Республики Беларусь (далее – оперативные данные) о погибших и потерпевших на производстве, получивших тяжелые производственные травмы, за первое полугодие текущего года в сравнении с аналогичным периодом 2018 года, а также сведения об эффективности работы мобильных групп за первое</w:t>
      </w:r>
      <w:proofErr w:type="gramEnd"/>
      <w:r w:rsidRPr="00F670C4">
        <w:rPr>
          <w:sz w:val="30"/>
          <w:szCs w:val="30"/>
          <w:lang w:val="ru-RU"/>
        </w:rPr>
        <w:t xml:space="preserve"> полугодие 2019 года.</w:t>
      </w:r>
    </w:p>
    <w:p w:rsidR="00F670C4" w:rsidRDefault="00F670C4" w:rsidP="00F670C4">
      <w:pPr>
        <w:pStyle w:val="ad"/>
        <w:spacing w:after="0"/>
        <w:ind w:firstLine="709"/>
        <w:jc w:val="both"/>
        <w:rPr>
          <w:sz w:val="30"/>
          <w:szCs w:val="30"/>
        </w:rPr>
      </w:pPr>
      <w:r>
        <w:rPr>
          <w:sz w:val="30"/>
          <w:szCs w:val="30"/>
        </w:rPr>
        <w:t xml:space="preserve">По оперативным данным </w:t>
      </w:r>
      <w:r w:rsidRPr="00DB06AB">
        <w:rPr>
          <w:color w:val="000000"/>
          <w:sz w:val="30"/>
          <w:szCs w:val="30"/>
        </w:rPr>
        <w:t>на 0</w:t>
      </w:r>
      <w:r>
        <w:rPr>
          <w:color w:val="000000"/>
          <w:sz w:val="30"/>
          <w:szCs w:val="30"/>
        </w:rPr>
        <w:t>5</w:t>
      </w:r>
      <w:r w:rsidRPr="00DB06AB">
        <w:rPr>
          <w:color w:val="000000"/>
          <w:sz w:val="30"/>
          <w:szCs w:val="30"/>
        </w:rPr>
        <w:t>.07.2019 года</w:t>
      </w:r>
      <w:r>
        <w:rPr>
          <w:color w:val="000000"/>
          <w:sz w:val="30"/>
          <w:szCs w:val="30"/>
        </w:rPr>
        <w:t xml:space="preserve"> в</w:t>
      </w:r>
      <w:r w:rsidRPr="00DB06AB">
        <w:rPr>
          <w:color w:val="000000"/>
          <w:sz w:val="30"/>
          <w:szCs w:val="30"/>
        </w:rPr>
        <w:t xml:space="preserve"> </w:t>
      </w:r>
      <w:r>
        <w:rPr>
          <w:color w:val="000000"/>
          <w:sz w:val="30"/>
          <w:szCs w:val="30"/>
        </w:rPr>
        <w:t>первом полугодии текущего года</w:t>
      </w:r>
      <w:r w:rsidRPr="00255A51">
        <w:rPr>
          <w:color w:val="000000"/>
          <w:sz w:val="30"/>
          <w:szCs w:val="30"/>
        </w:rPr>
        <w:t xml:space="preserve"> в организациях </w:t>
      </w:r>
      <w:r>
        <w:rPr>
          <w:color w:val="000000"/>
          <w:sz w:val="30"/>
          <w:szCs w:val="30"/>
        </w:rPr>
        <w:t>Гродненской области</w:t>
      </w:r>
      <w:r w:rsidRPr="00255A51">
        <w:rPr>
          <w:color w:val="000000"/>
          <w:sz w:val="30"/>
          <w:szCs w:val="30"/>
        </w:rPr>
        <w:t xml:space="preserve"> погибло (умерло) </w:t>
      </w:r>
      <w:r>
        <w:rPr>
          <w:color w:val="000000"/>
          <w:sz w:val="30"/>
          <w:szCs w:val="30"/>
        </w:rPr>
        <w:t>8</w:t>
      </w:r>
      <w:r w:rsidRPr="00255A51">
        <w:rPr>
          <w:color w:val="000000"/>
          <w:sz w:val="30"/>
          <w:szCs w:val="30"/>
        </w:rPr>
        <w:t xml:space="preserve"> работник</w:t>
      </w:r>
      <w:r>
        <w:rPr>
          <w:color w:val="000000"/>
          <w:sz w:val="30"/>
          <w:szCs w:val="30"/>
        </w:rPr>
        <w:t>ов</w:t>
      </w:r>
      <w:r w:rsidRPr="00255A51">
        <w:rPr>
          <w:color w:val="000000"/>
          <w:sz w:val="30"/>
          <w:szCs w:val="30"/>
        </w:rPr>
        <w:t xml:space="preserve"> </w:t>
      </w:r>
      <w:r w:rsidRPr="00255A51">
        <w:rPr>
          <w:sz w:val="30"/>
          <w:szCs w:val="30"/>
        </w:rPr>
        <w:t xml:space="preserve">и </w:t>
      </w:r>
      <w:r>
        <w:rPr>
          <w:sz w:val="30"/>
          <w:szCs w:val="30"/>
        </w:rPr>
        <w:t>35</w:t>
      </w:r>
      <w:r w:rsidRPr="00255A51">
        <w:rPr>
          <w:sz w:val="30"/>
          <w:szCs w:val="30"/>
        </w:rPr>
        <w:t> человек</w:t>
      </w:r>
      <w:r w:rsidRPr="00DB06AB">
        <w:rPr>
          <w:spacing w:val="-6"/>
          <w:sz w:val="30"/>
          <w:szCs w:val="30"/>
        </w:rPr>
        <w:t xml:space="preserve"> получили тяжелые травмы</w:t>
      </w:r>
      <w:r w:rsidRPr="00DB06AB">
        <w:rPr>
          <w:color w:val="000000"/>
          <w:sz w:val="30"/>
          <w:szCs w:val="30"/>
        </w:rPr>
        <w:t xml:space="preserve">. </w:t>
      </w:r>
      <w:r>
        <w:rPr>
          <w:color w:val="000000"/>
          <w:sz w:val="30"/>
          <w:szCs w:val="30"/>
        </w:rPr>
        <w:t xml:space="preserve">Из указанного количества </w:t>
      </w:r>
      <w:r w:rsidRPr="00DC09CA">
        <w:rPr>
          <w:color w:val="000000"/>
          <w:sz w:val="30"/>
          <w:szCs w:val="30"/>
        </w:rPr>
        <w:t xml:space="preserve">травмированных связь с производством установлена у </w:t>
      </w:r>
      <w:r>
        <w:rPr>
          <w:color w:val="000000"/>
          <w:sz w:val="30"/>
          <w:szCs w:val="30"/>
        </w:rPr>
        <w:t>7</w:t>
      </w:r>
      <w:r w:rsidRPr="00DC09CA">
        <w:rPr>
          <w:color w:val="000000"/>
          <w:sz w:val="30"/>
          <w:szCs w:val="30"/>
        </w:rPr>
        <w:t xml:space="preserve"> погибших, что на </w:t>
      </w:r>
      <w:r>
        <w:rPr>
          <w:color w:val="000000"/>
          <w:sz w:val="30"/>
          <w:szCs w:val="30"/>
        </w:rPr>
        <w:t>одного</w:t>
      </w:r>
      <w:r w:rsidRPr="00DC09CA">
        <w:rPr>
          <w:color w:val="000000"/>
          <w:sz w:val="30"/>
          <w:szCs w:val="30"/>
        </w:rPr>
        <w:t xml:space="preserve"> </w:t>
      </w:r>
      <w:r w:rsidRPr="00DC09CA">
        <w:rPr>
          <w:spacing w:val="-6"/>
          <w:sz w:val="30"/>
          <w:szCs w:val="30"/>
        </w:rPr>
        <w:t>человек</w:t>
      </w:r>
      <w:r>
        <w:rPr>
          <w:spacing w:val="-6"/>
          <w:sz w:val="30"/>
          <w:szCs w:val="30"/>
        </w:rPr>
        <w:t>а</w:t>
      </w:r>
      <w:r w:rsidRPr="00DC09CA">
        <w:rPr>
          <w:spacing w:val="-6"/>
          <w:sz w:val="30"/>
          <w:szCs w:val="30"/>
        </w:rPr>
        <w:t xml:space="preserve"> </w:t>
      </w:r>
      <w:r>
        <w:rPr>
          <w:spacing w:val="-6"/>
          <w:sz w:val="30"/>
          <w:szCs w:val="30"/>
        </w:rPr>
        <w:t>больше</w:t>
      </w:r>
      <w:r w:rsidRPr="00DC09CA">
        <w:rPr>
          <w:spacing w:val="-6"/>
          <w:sz w:val="30"/>
          <w:szCs w:val="30"/>
        </w:rPr>
        <w:t>, чем за аналогичный период прошлого года</w:t>
      </w:r>
      <w:r w:rsidRPr="00DC09CA">
        <w:rPr>
          <w:sz w:val="30"/>
          <w:szCs w:val="30"/>
        </w:rPr>
        <w:t>,</w:t>
      </w:r>
      <w:r w:rsidRPr="00DC09CA">
        <w:rPr>
          <w:spacing w:val="-6"/>
          <w:sz w:val="30"/>
          <w:szCs w:val="30"/>
        </w:rPr>
        <w:t xml:space="preserve"> </w:t>
      </w:r>
      <w:r w:rsidRPr="00DC09CA">
        <w:rPr>
          <w:sz w:val="30"/>
          <w:szCs w:val="30"/>
        </w:rPr>
        <w:t xml:space="preserve">и </w:t>
      </w:r>
      <w:r>
        <w:rPr>
          <w:sz w:val="30"/>
          <w:szCs w:val="30"/>
        </w:rPr>
        <w:t>34</w:t>
      </w:r>
      <w:r w:rsidRPr="00DC09CA">
        <w:rPr>
          <w:sz w:val="30"/>
          <w:szCs w:val="30"/>
        </w:rPr>
        <w:t> </w:t>
      </w:r>
      <w:r w:rsidRPr="00DC09CA">
        <w:rPr>
          <w:spacing w:val="-6"/>
          <w:sz w:val="30"/>
          <w:szCs w:val="30"/>
        </w:rPr>
        <w:t xml:space="preserve">– получивших тяжелые производственные травмы (в январе-июне 2018 года – </w:t>
      </w:r>
      <w:r>
        <w:rPr>
          <w:spacing w:val="-6"/>
          <w:sz w:val="30"/>
          <w:szCs w:val="30"/>
        </w:rPr>
        <w:t>35</w:t>
      </w:r>
      <w:r w:rsidRPr="00DC09CA">
        <w:rPr>
          <w:spacing w:val="-6"/>
          <w:sz w:val="30"/>
          <w:szCs w:val="30"/>
        </w:rPr>
        <w:t>)</w:t>
      </w:r>
      <w:r w:rsidRPr="00DC09CA">
        <w:rPr>
          <w:sz w:val="30"/>
          <w:szCs w:val="30"/>
        </w:rPr>
        <w:t>.</w:t>
      </w:r>
      <w:r>
        <w:rPr>
          <w:sz w:val="30"/>
          <w:szCs w:val="30"/>
        </w:rPr>
        <w:t xml:space="preserve"> Показатель </w:t>
      </w:r>
      <w:r w:rsidRPr="00B918A2">
        <w:rPr>
          <w:sz w:val="30"/>
          <w:szCs w:val="30"/>
        </w:rPr>
        <w:t>количеств</w:t>
      </w:r>
      <w:r>
        <w:rPr>
          <w:sz w:val="30"/>
          <w:szCs w:val="30"/>
        </w:rPr>
        <w:t>а</w:t>
      </w:r>
      <w:r w:rsidRPr="00B918A2">
        <w:rPr>
          <w:sz w:val="30"/>
          <w:szCs w:val="30"/>
        </w:rPr>
        <w:t xml:space="preserve"> погибших на производстве в расчете на 100 тысяч застрахованных </w:t>
      </w:r>
      <w:r>
        <w:rPr>
          <w:sz w:val="30"/>
          <w:szCs w:val="30"/>
        </w:rPr>
        <w:t xml:space="preserve">по обязательному страхованию от несчастных случаев на производстве и профессиональных заболеваний </w:t>
      </w:r>
      <w:r w:rsidRPr="00B918A2">
        <w:rPr>
          <w:sz w:val="30"/>
          <w:szCs w:val="30"/>
        </w:rPr>
        <w:t>(</w:t>
      </w:r>
      <w:proofErr w:type="spellStart"/>
      <w:r w:rsidRPr="00B918A2">
        <w:rPr>
          <w:sz w:val="30"/>
          <w:szCs w:val="30"/>
        </w:rPr>
        <w:t>К</w:t>
      </w:r>
      <w:r w:rsidRPr="00B918A2">
        <w:rPr>
          <w:sz w:val="30"/>
          <w:szCs w:val="30"/>
          <w:vertAlign w:val="subscript"/>
        </w:rPr>
        <w:t>ч</w:t>
      </w:r>
      <w:proofErr w:type="spellEnd"/>
      <w:r w:rsidRPr="00B918A2">
        <w:rPr>
          <w:sz w:val="30"/>
          <w:szCs w:val="30"/>
        </w:rPr>
        <w:t>)</w:t>
      </w:r>
      <w:r>
        <w:rPr>
          <w:sz w:val="30"/>
          <w:szCs w:val="30"/>
        </w:rPr>
        <w:t xml:space="preserve"> по области составил 1,7 (по республике – 1,3).</w:t>
      </w:r>
    </w:p>
    <w:p w:rsidR="00F670C4" w:rsidRPr="00F670C4" w:rsidRDefault="00F670C4" w:rsidP="00F670C4">
      <w:pPr>
        <w:suppressAutoHyphens/>
        <w:spacing w:line="280" w:lineRule="exact"/>
        <w:ind w:firstLine="720"/>
        <w:jc w:val="both"/>
        <w:rPr>
          <w:i/>
          <w:sz w:val="28"/>
          <w:szCs w:val="28"/>
          <w:highlight w:val="yellow"/>
          <w:lang w:val="ru-RU"/>
        </w:rPr>
      </w:pPr>
      <w:r w:rsidRPr="00F670C4">
        <w:rPr>
          <w:i/>
          <w:sz w:val="28"/>
          <w:szCs w:val="28"/>
          <w:lang w:val="ru-RU"/>
        </w:rPr>
        <w:t>Справочно. На 5 июля 2019 г. проведение расследований (специальных расследований) 7 фактов гибели и 8 фактов тяжелого травмирования на производстве не завершено. Из них по предварительной информации несчастные случаи, приведшие к смерти одного работника и тяжелому травмированию одного человека, будут квалифицироваться как непроизводственные.</w:t>
      </w:r>
    </w:p>
    <w:p w:rsidR="00F670C4" w:rsidRPr="00F670C4" w:rsidRDefault="00F670C4" w:rsidP="00F670C4">
      <w:pPr>
        <w:tabs>
          <w:tab w:val="left" w:pos="6757"/>
        </w:tabs>
        <w:ind w:firstLine="851"/>
        <w:jc w:val="both"/>
        <w:rPr>
          <w:sz w:val="30"/>
          <w:szCs w:val="30"/>
          <w:lang w:val="ru-RU"/>
        </w:rPr>
      </w:pPr>
      <w:r w:rsidRPr="00F670C4">
        <w:rPr>
          <w:sz w:val="30"/>
          <w:szCs w:val="30"/>
          <w:lang w:val="ru-RU"/>
        </w:rPr>
        <w:t xml:space="preserve">В организациях </w:t>
      </w:r>
      <w:r w:rsidRPr="00F670C4">
        <w:rPr>
          <w:spacing w:val="-6"/>
          <w:sz w:val="30"/>
          <w:szCs w:val="30"/>
          <w:lang w:val="ru-RU"/>
        </w:rPr>
        <w:t>коммунальной формы собственности</w:t>
      </w:r>
      <w:r w:rsidRPr="00F670C4">
        <w:rPr>
          <w:sz w:val="30"/>
          <w:szCs w:val="30"/>
          <w:lang w:val="ru-RU"/>
        </w:rPr>
        <w:t xml:space="preserve"> области в первом полугодии текущего года в сравнении с аналогичным периодом прошлого года число погибших возросло с 3 до 5 человек. </w:t>
      </w:r>
      <w:r w:rsidRPr="00F670C4">
        <w:rPr>
          <w:spacing w:val="-6"/>
          <w:sz w:val="30"/>
          <w:szCs w:val="30"/>
          <w:lang w:val="ru-RU"/>
        </w:rPr>
        <w:t>Из общего числа потерпевших на производстве с тяжелыми последствиями 20</w:t>
      </w:r>
      <w:r>
        <w:rPr>
          <w:spacing w:val="-6"/>
          <w:sz w:val="30"/>
          <w:szCs w:val="30"/>
        </w:rPr>
        <w:t> </w:t>
      </w:r>
      <w:r w:rsidRPr="00F670C4">
        <w:rPr>
          <w:spacing w:val="-6"/>
          <w:sz w:val="30"/>
          <w:szCs w:val="30"/>
          <w:lang w:val="ru-RU"/>
        </w:rPr>
        <w:t>человек, или 48,8 процента от их общего количества по области, приходится на организации коммунальной формы собственности (в аналогичном периоде 2018 года – 23</w:t>
      </w:r>
      <w:r>
        <w:rPr>
          <w:spacing w:val="-6"/>
          <w:sz w:val="30"/>
          <w:szCs w:val="30"/>
        </w:rPr>
        <w:t> </w:t>
      </w:r>
      <w:r w:rsidRPr="00F670C4">
        <w:rPr>
          <w:spacing w:val="-6"/>
          <w:sz w:val="30"/>
          <w:szCs w:val="30"/>
          <w:lang w:val="ru-RU"/>
        </w:rPr>
        <w:t>потерпевших, или 56,1</w:t>
      </w:r>
      <w:r>
        <w:rPr>
          <w:spacing w:val="-6"/>
          <w:sz w:val="30"/>
          <w:szCs w:val="30"/>
        </w:rPr>
        <w:t> </w:t>
      </w:r>
      <w:r w:rsidRPr="00F670C4">
        <w:rPr>
          <w:spacing w:val="-6"/>
          <w:sz w:val="30"/>
          <w:szCs w:val="30"/>
          <w:lang w:val="ru-RU"/>
        </w:rPr>
        <w:t>процентов). При этом 14 человек, или 70 процентов от количества потерпевших с тяжелыми последствиями в организациях коммунальной формы собственности, – работники сельскохозяйственных организаций.</w:t>
      </w:r>
    </w:p>
    <w:p w:rsidR="00F670C4" w:rsidRPr="00F670C4" w:rsidRDefault="00F670C4" w:rsidP="00F670C4">
      <w:pPr>
        <w:ind w:firstLine="708"/>
        <w:jc w:val="both"/>
        <w:rPr>
          <w:sz w:val="30"/>
          <w:szCs w:val="30"/>
          <w:lang w:val="ru-RU"/>
        </w:rPr>
      </w:pPr>
      <w:r w:rsidRPr="00F670C4">
        <w:rPr>
          <w:sz w:val="30"/>
          <w:szCs w:val="30"/>
          <w:lang w:val="ru-RU"/>
        </w:rPr>
        <w:t>Кроме того, отмечен рост числа потерпевших, получивших тяжелые производственные травмы, в организациях без ведомственной подчиненности – 8 (в январе-июне 2018 г. – 6), а также подведомственных (входящих в систему) Минлесхозу, – 5 (один), Минстройархитектуры и Минсвязи, – соответственно 2 и один (ни одного).</w:t>
      </w:r>
    </w:p>
    <w:p w:rsidR="00F670C4" w:rsidRPr="00F670C4" w:rsidRDefault="00F670C4" w:rsidP="00F670C4">
      <w:pPr>
        <w:pStyle w:val="a5"/>
        <w:spacing w:after="0"/>
        <w:ind w:left="0" w:firstLine="709"/>
        <w:jc w:val="both"/>
        <w:rPr>
          <w:sz w:val="30"/>
          <w:szCs w:val="30"/>
          <w:lang w:val="ru-RU"/>
        </w:rPr>
      </w:pPr>
      <w:r w:rsidRPr="00F670C4">
        <w:rPr>
          <w:sz w:val="30"/>
          <w:szCs w:val="30"/>
          <w:lang w:val="ru-RU"/>
        </w:rPr>
        <w:lastRenderedPageBreak/>
        <w:t>Основными причинами несчастных случаев на производстве с тяжелыми последствиями, произошедших в организациях области в первом полугодии текущего года, по завершенным на 05.07.2019 специальным расследованиям (расследованиям), явились:</w:t>
      </w:r>
    </w:p>
    <w:p w:rsidR="00F670C4" w:rsidRPr="00F670C4" w:rsidRDefault="00F670C4" w:rsidP="00F670C4">
      <w:pPr>
        <w:pStyle w:val="a5"/>
        <w:spacing w:after="0"/>
        <w:ind w:left="0" w:firstLine="709"/>
        <w:jc w:val="both"/>
        <w:rPr>
          <w:sz w:val="30"/>
          <w:szCs w:val="30"/>
          <w:lang w:val="ru-RU"/>
        </w:rPr>
      </w:pPr>
      <w:r w:rsidRPr="00F670C4">
        <w:rPr>
          <w:sz w:val="30"/>
          <w:szCs w:val="30"/>
          <w:lang w:val="ru-RU"/>
        </w:rPr>
        <w:t xml:space="preserve">нарушение потерпевшими трудовой и производственной дисциплины, требований нормативных правовых актов, технических нормативных правовых актов, локальных нормативных актов по охране труда (15,2 процента от общего числа причин); </w:t>
      </w:r>
    </w:p>
    <w:p w:rsidR="00F670C4" w:rsidRPr="00F670C4" w:rsidRDefault="00F670C4" w:rsidP="00F670C4">
      <w:pPr>
        <w:pStyle w:val="a5"/>
        <w:spacing w:after="0"/>
        <w:ind w:left="0" w:firstLine="709"/>
        <w:jc w:val="both"/>
        <w:rPr>
          <w:sz w:val="30"/>
          <w:szCs w:val="30"/>
          <w:lang w:val="ru-RU"/>
        </w:rPr>
      </w:pPr>
      <w:r w:rsidRPr="00F670C4">
        <w:rPr>
          <w:sz w:val="30"/>
          <w:szCs w:val="30"/>
          <w:lang w:val="ru-RU"/>
        </w:rPr>
        <w:t>нарушение требований безопасности при эксплуатации транспортных средств, машин, механизмов, оборудования, оснастки, инструмента (13</w:t>
      </w:r>
      <w:r>
        <w:rPr>
          <w:sz w:val="30"/>
          <w:szCs w:val="30"/>
        </w:rPr>
        <w:t> </w:t>
      </w:r>
      <w:r w:rsidRPr="00F670C4">
        <w:rPr>
          <w:sz w:val="30"/>
          <w:szCs w:val="30"/>
          <w:lang w:val="ru-RU"/>
        </w:rPr>
        <w:t>процентов);</w:t>
      </w:r>
    </w:p>
    <w:p w:rsidR="00F670C4" w:rsidRPr="00F670C4" w:rsidRDefault="00F670C4" w:rsidP="00F670C4">
      <w:pPr>
        <w:pStyle w:val="a5"/>
        <w:spacing w:after="0"/>
        <w:ind w:left="0" w:firstLine="709"/>
        <w:jc w:val="both"/>
        <w:rPr>
          <w:sz w:val="30"/>
          <w:szCs w:val="30"/>
          <w:lang w:val="ru-RU"/>
        </w:rPr>
      </w:pPr>
      <w:r w:rsidRPr="00F670C4">
        <w:rPr>
          <w:sz w:val="30"/>
          <w:szCs w:val="30"/>
          <w:lang w:val="ru-RU"/>
        </w:rPr>
        <w:t>личная неосторожность потерпевших (10,9 процента);</w:t>
      </w:r>
    </w:p>
    <w:p w:rsidR="00F670C4" w:rsidRPr="00F670C4" w:rsidRDefault="00F670C4" w:rsidP="00F670C4">
      <w:pPr>
        <w:pStyle w:val="a5"/>
        <w:spacing w:after="0"/>
        <w:ind w:left="0" w:firstLine="709"/>
        <w:jc w:val="both"/>
        <w:rPr>
          <w:sz w:val="30"/>
          <w:szCs w:val="30"/>
          <w:lang w:val="ru-RU"/>
        </w:rPr>
      </w:pPr>
      <w:r w:rsidRPr="00F670C4">
        <w:rPr>
          <w:sz w:val="30"/>
          <w:szCs w:val="30"/>
          <w:lang w:val="ru-RU"/>
        </w:rPr>
        <w:t>невыполнение руководителями и специалистами обязанностей по охране труда (8,7</w:t>
      </w:r>
      <w:r>
        <w:rPr>
          <w:sz w:val="30"/>
          <w:szCs w:val="30"/>
        </w:rPr>
        <w:t> </w:t>
      </w:r>
      <w:r w:rsidRPr="00F670C4">
        <w:rPr>
          <w:sz w:val="30"/>
          <w:szCs w:val="30"/>
          <w:lang w:val="ru-RU"/>
        </w:rPr>
        <w:t xml:space="preserve">процента); </w:t>
      </w:r>
    </w:p>
    <w:p w:rsidR="00F670C4" w:rsidRPr="00F670C4" w:rsidRDefault="00F670C4" w:rsidP="00F670C4">
      <w:pPr>
        <w:tabs>
          <w:tab w:val="left" w:pos="6757"/>
        </w:tabs>
        <w:ind w:firstLine="697"/>
        <w:jc w:val="both"/>
        <w:rPr>
          <w:sz w:val="30"/>
          <w:szCs w:val="30"/>
          <w:lang w:val="ru-RU"/>
        </w:rPr>
      </w:pPr>
      <w:r w:rsidRPr="00F670C4">
        <w:rPr>
          <w:sz w:val="30"/>
          <w:szCs w:val="30"/>
          <w:lang w:val="ru-RU"/>
        </w:rPr>
        <w:t>допуск потерпевших к работе без обучения и проверки знаний по вопросам охраны труда (5,2 процента).</w:t>
      </w:r>
    </w:p>
    <w:p w:rsidR="00F670C4" w:rsidRPr="00F670C4" w:rsidRDefault="00F670C4" w:rsidP="00F670C4">
      <w:pPr>
        <w:tabs>
          <w:tab w:val="left" w:pos="6757"/>
        </w:tabs>
        <w:ind w:firstLine="709"/>
        <w:jc w:val="both"/>
        <w:rPr>
          <w:spacing w:val="-6"/>
          <w:sz w:val="30"/>
          <w:szCs w:val="30"/>
          <w:lang w:val="ru-RU"/>
        </w:rPr>
      </w:pPr>
      <w:r w:rsidRPr="00F670C4">
        <w:rPr>
          <w:spacing w:val="-6"/>
          <w:sz w:val="30"/>
          <w:szCs w:val="30"/>
          <w:lang w:val="ru-RU"/>
        </w:rPr>
        <w:t>В состоянии алкогольного опьянения в момент травмирования в первом полугодии текущего года находился один потерпевший, получивший тяжелую производственную травму (в январе-июне 2018 г. – 4</w:t>
      </w:r>
      <w:r>
        <w:rPr>
          <w:spacing w:val="-6"/>
          <w:sz w:val="30"/>
          <w:szCs w:val="30"/>
        </w:rPr>
        <w:t> </w:t>
      </w:r>
      <w:r w:rsidRPr="00F670C4">
        <w:rPr>
          <w:spacing w:val="-6"/>
          <w:sz w:val="30"/>
          <w:szCs w:val="30"/>
          <w:lang w:val="ru-RU"/>
        </w:rPr>
        <w:t>работника получили на производстве тяжелые травмы).</w:t>
      </w:r>
    </w:p>
    <w:p w:rsidR="00F670C4" w:rsidRPr="00F670C4" w:rsidRDefault="00F670C4" w:rsidP="00F670C4">
      <w:pPr>
        <w:tabs>
          <w:tab w:val="left" w:pos="6757"/>
        </w:tabs>
        <w:ind w:firstLine="851"/>
        <w:jc w:val="both"/>
        <w:rPr>
          <w:sz w:val="30"/>
          <w:szCs w:val="30"/>
          <w:lang w:val="ru-RU"/>
        </w:rPr>
      </w:pPr>
      <w:proofErr w:type="gramStart"/>
      <w:r w:rsidRPr="00F670C4">
        <w:rPr>
          <w:sz w:val="30"/>
          <w:szCs w:val="30"/>
          <w:lang w:val="ru-RU"/>
        </w:rPr>
        <w:t>С учетом изложенного, предлагаем принять действенные меры по снижению числа случаев травмирования работников на производстве, устранению причин производственного травматизма, безусловному исполнению своих обязанностей по охране труда как должностными лицами организаций, расположенных на подведомственной территории, так и самими работниками, а также обеспечению ими производственно-технологической, исполнительской и трудовой дисциплины.</w:t>
      </w:r>
      <w:proofErr w:type="gramEnd"/>
    </w:p>
    <w:p w:rsidR="00F670C4" w:rsidRPr="00F670C4" w:rsidRDefault="00F670C4" w:rsidP="00F670C4">
      <w:pPr>
        <w:jc w:val="both"/>
        <w:rPr>
          <w:sz w:val="30"/>
          <w:szCs w:val="30"/>
          <w:lang w:val="ru-RU"/>
        </w:rPr>
      </w:pPr>
    </w:p>
    <w:p w:rsidR="00F670C4" w:rsidRPr="00F670C4" w:rsidRDefault="00F670C4" w:rsidP="00F670C4">
      <w:pPr>
        <w:jc w:val="both"/>
        <w:rPr>
          <w:sz w:val="30"/>
          <w:szCs w:val="30"/>
          <w:lang w:val="ru-RU"/>
        </w:rPr>
      </w:pPr>
      <w:bookmarkStart w:id="0" w:name="_GoBack"/>
      <w:bookmarkEnd w:id="0"/>
    </w:p>
    <w:p w:rsidR="006D48E6" w:rsidRDefault="006D48E6" w:rsidP="0079123F">
      <w:pPr>
        <w:tabs>
          <w:tab w:val="left" w:pos="6237"/>
        </w:tabs>
        <w:jc w:val="both"/>
        <w:rPr>
          <w:rFonts w:ascii="Times New Roman" w:hAnsi="Times New Roman"/>
          <w:sz w:val="30"/>
          <w:lang w:val="ru-RU"/>
        </w:rPr>
      </w:pPr>
    </w:p>
    <w:p w:rsidR="006D48E6" w:rsidRPr="006D48E6" w:rsidRDefault="006D48E6" w:rsidP="006D48E6">
      <w:pPr>
        <w:rPr>
          <w:rFonts w:ascii="Times New Roman" w:hAnsi="Times New Roman"/>
          <w:sz w:val="30"/>
          <w:lang w:val="ru-RU"/>
        </w:rPr>
      </w:pPr>
    </w:p>
    <w:p w:rsidR="006D48E6" w:rsidRPr="006D48E6" w:rsidRDefault="006D48E6" w:rsidP="006D48E6">
      <w:pPr>
        <w:rPr>
          <w:rFonts w:ascii="Times New Roman" w:hAnsi="Times New Roman"/>
          <w:sz w:val="30"/>
          <w:lang w:val="ru-RU"/>
        </w:rPr>
      </w:pPr>
    </w:p>
    <w:p w:rsidR="006D48E6" w:rsidRPr="006D48E6" w:rsidRDefault="006D48E6" w:rsidP="006D48E6">
      <w:pPr>
        <w:rPr>
          <w:rFonts w:ascii="Times New Roman" w:hAnsi="Times New Roman"/>
          <w:sz w:val="30"/>
          <w:lang w:val="ru-RU"/>
        </w:rPr>
      </w:pPr>
    </w:p>
    <w:p w:rsidR="006D48E6" w:rsidRPr="006D48E6" w:rsidRDefault="006D48E6" w:rsidP="006D48E6">
      <w:pPr>
        <w:rPr>
          <w:rFonts w:ascii="Times New Roman" w:hAnsi="Times New Roman"/>
          <w:sz w:val="30"/>
          <w:lang w:val="ru-RU"/>
        </w:rPr>
      </w:pPr>
    </w:p>
    <w:p w:rsidR="006D48E6" w:rsidRPr="006D48E6" w:rsidRDefault="006D48E6" w:rsidP="006D48E6">
      <w:pPr>
        <w:rPr>
          <w:rFonts w:ascii="Times New Roman" w:hAnsi="Times New Roman"/>
          <w:sz w:val="30"/>
          <w:lang w:val="ru-RU"/>
        </w:rPr>
      </w:pPr>
    </w:p>
    <w:p w:rsidR="006D48E6" w:rsidRPr="006D48E6" w:rsidRDefault="006D48E6" w:rsidP="006D48E6">
      <w:pPr>
        <w:rPr>
          <w:rFonts w:ascii="Times New Roman" w:hAnsi="Times New Roman"/>
          <w:sz w:val="30"/>
          <w:lang w:val="ru-RU"/>
        </w:rPr>
      </w:pPr>
    </w:p>
    <w:p w:rsidR="006D48E6" w:rsidRDefault="006D48E6">
      <w:pPr>
        <w:spacing w:after="160" w:line="259" w:lineRule="auto"/>
        <w:rPr>
          <w:rFonts w:ascii="Times New Roman" w:hAnsi="Times New Roman"/>
          <w:sz w:val="30"/>
          <w:lang w:val="ru-RU"/>
        </w:rPr>
      </w:pPr>
      <w:r>
        <w:rPr>
          <w:rFonts w:ascii="Times New Roman" w:hAnsi="Times New Roman"/>
          <w:sz w:val="30"/>
          <w:lang w:val="ru-RU"/>
        </w:rPr>
        <w:br w:type="page"/>
      </w:r>
    </w:p>
    <w:p w:rsidR="006D48E6" w:rsidRDefault="006D48E6" w:rsidP="006D48E6">
      <w:pPr>
        <w:tabs>
          <w:tab w:val="left" w:pos="2224"/>
        </w:tabs>
        <w:rPr>
          <w:rFonts w:ascii="Times New Roman" w:hAnsi="Times New Roman"/>
          <w:sz w:val="30"/>
          <w:lang w:val="ru-RU"/>
        </w:rPr>
        <w:sectPr w:rsidR="006D48E6" w:rsidSect="002D1B07">
          <w:pgSz w:w="11906" w:h="16838"/>
          <w:pgMar w:top="1134" w:right="567" w:bottom="1134" w:left="1701" w:header="709" w:footer="709" w:gutter="0"/>
          <w:cols w:space="708"/>
          <w:docGrid w:linePitch="360"/>
        </w:sectPr>
      </w:pPr>
    </w:p>
    <w:p w:rsidR="006D48E6" w:rsidRDefault="006D48E6" w:rsidP="006D48E6">
      <w:pPr>
        <w:tabs>
          <w:tab w:val="left" w:pos="2224"/>
        </w:tabs>
        <w:rPr>
          <w:rFonts w:ascii="Times New Roman" w:hAnsi="Times New Roman"/>
          <w:sz w:val="30"/>
          <w:lang w:val="ru-RU"/>
        </w:rPr>
      </w:pPr>
      <w:r w:rsidRPr="006D48E6">
        <w:rPr>
          <w:rFonts w:ascii="Times New Roman" w:hAnsi="Times New Roman"/>
          <w:sz w:val="30"/>
          <w:lang w:val="ru-RU"/>
        </w:rPr>
        <w:lastRenderedPageBreak/>
        <w:drawing>
          <wp:inline distT="0" distB="0" distL="0" distR="0">
            <wp:extent cx="8817132" cy="6199801"/>
            <wp:effectExtent l="19050" t="0" r="301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27814" cy="6207312"/>
                    </a:xfrm>
                    <a:prstGeom prst="rect">
                      <a:avLst/>
                    </a:prstGeom>
                    <a:noFill/>
                    <a:ln w="9525">
                      <a:noFill/>
                      <a:miter lim="800000"/>
                      <a:headEnd/>
                      <a:tailEnd/>
                    </a:ln>
                  </pic:spPr>
                </pic:pic>
              </a:graphicData>
            </a:graphic>
          </wp:inline>
        </w:drawing>
      </w:r>
    </w:p>
    <w:p w:rsidR="006D48E6" w:rsidRDefault="006D48E6" w:rsidP="006D48E6">
      <w:pPr>
        <w:tabs>
          <w:tab w:val="left" w:pos="2224"/>
        </w:tabs>
        <w:rPr>
          <w:rFonts w:ascii="Times New Roman" w:hAnsi="Times New Roman"/>
          <w:sz w:val="30"/>
          <w:lang w:val="ru-RU"/>
        </w:rPr>
      </w:pPr>
      <w:r w:rsidRPr="006D48E6">
        <w:rPr>
          <w:rFonts w:ascii="Times New Roman" w:hAnsi="Times New Roman"/>
          <w:sz w:val="30"/>
          <w:lang w:val="ru-RU"/>
        </w:rPr>
        <w:lastRenderedPageBreak/>
        <w:drawing>
          <wp:inline distT="0" distB="0" distL="0" distR="0">
            <wp:extent cx="9251950" cy="6385997"/>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251950" cy="6385997"/>
                    </a:xfrm>
                    <a:prstGeom prst="rect">
                      <a:avLst/>
                    </a:prstGeom>
                    <a:noFill/>
                    <a:ln w="9525">
                      <a:noFill/>
                      <a:miter lim="800000"/>
                      <a:headEnd/>
                      <a:tailEnd/>
                    </a:ln>
                  </pic:spPr>
                </pic:pic>
              </a:graphicData>
            </a:graphic>
          </wp:inline>
        </w:drawing>
      </w:r>
    </w:p>
    <w:p w:rsidR="006D48E6" w:rsidRDefault="006D48E6" w:rsidP="006D48E6">
      <w:pPr>
        <w:tabs>
          <w:tab w:val="left" w:pos="2224"/>
        </w:tabs>
        <w:rPr>
          <w:rFonts w:ascii="Times New Roman" w:hAnsi="Times New Roman"/>
          <w:sz w:val="30"/>
          <w:lang w:val="ru-RU"/>
        </w:rPr>
      </w:pPr>
      <w:r w:rsidRPr="006D48E6">
        <w:rPr>
          <w:rFonts w:ascii="Times New Roman" w:hAnsi="Times New Roman"/>
          <w:sz w:val="30"/>
          <w:lang w:val="ru-RU"/>
        </w:rPr>
        <w:lastRenderedPageBreak/>
        <w:drawing>
          <wp:inline distT="0" distB="0" distL="0" distR="0">
            <wp:extent cx="9251950" cy="5973219"/>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251950" cy="5973219"/>
                    </a:xfrm>
                    <a:prstGeom prst="rect">
                      <a:avLst/>
                    </a:prstGeom>
                    <a:noFill/>
                    <a:ln w="9525">
                      <a:noFill/>
                      <a:miter lim="800000"/>
                      <a:headEnd/>
                      <a:tailEnd/>
                    </a:ln>
                  </pic:spPr>
                </pic:pic>
              </a:graphicData>
            </a:graphic>
          </wp:inline>
        </w:drawing>
      </w:r>
    </w:p>
    <w:p w:rsidR="006D48E6" w:rsidRDefault="006D48E6" w:rsidP="006D48E6">
      <w:pPr>
        <w:tabs>
          <w:tab w:val="left" w:pos="2224"/>
        </w:tabs>
        <w:rPr>
          <w:rFonts w:ascii="Times New Roman" w:hAnsi="Times New Roman"/>
          <w:sz w:val="30"/>
          <w:lang w:val="ru-RU"/>
        </w:rPr>
      </w:pPr>
    </w:p>
    <w:p w:rsidR="006D48E6" w:rsidRDefault="006D48E6" w:rsidP="006D48E6">
      <w:pPr>
        <w:tabs>
          <w:tab w:val="left" w:pos="2224"/>
        </w:tabs>
        <w:rPr>
          <w:rFonts w:ascii="Times New Roman" w:hAnsi="Times New Roman"/>
          <w:sz w:val="30"/>
          <w:lang w:val="ru-RU"/>
        </w:rPr>
      </w:pPr>
      <w:r w:rsidRPr="006D48E6">
        <w:rPr>
          <w:rFonts w:ascii="Times New Roman" w:hAnsi="Times New Roman"/>
          <w:sz w:val="30"/>
          <w:lang w:val="ru-RU"/>
        </w:rPr>
        <w:lastRenderedPageBreak/>
        <w:drawing>
          <wp:inline distT="0" distB="0" distL="0" distR="0">
            <wp:extent cx="9251950" cy="5891491"/>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51950" cy="5891491"/>
                    </a:xfrm>
                    <a:prstGeom prst="rect">
                      <a:avLst/>
                    </a:prstGeom>
                    <a:noFill/>
                    <a:ln w="9525">
                      <a:noFill/>
                      <a:miter lim="800000"/>
                      <a:headEnd/>
                      <a:tailEnd/>
                    </a:ln>
                  </pic:spPr>
                </pic:pic>
              </a:graphicData>
            </a:graphic>
          </wp:inline>
        </w:drawing>
      </w:r>
    </w:p>
    <w:p w:rsidR="006D48E6" w:rsidRDefault="006D48E6" w:rsidP="006D48E6">
      <w:pPr>
        <w:tabs>
          <w:tab w:val="left" w:pos="2224"/>
        </w:tabs>
        <w:rPr>
          <w:rFonts w:ascii="Times New Roman" w:hAnsi="Times New Roman"/>
          <w:sz w:val="30"/>
          <w:lang w:val="ru-RU"/>
        </w:rPr>
      </w:pPr>
      <w:r w:rsidRPr="006D48E6">
        <w:rPr>
          <w:rFonts w:ascii="Times New Roman" w:hAnsi="Times New Roman"/>
          <w:sz w:val="30"/>
          <w:lang w:val="ru-RU"/>
        </w:rPr>
        <w:lastRenderedPageBreak/>
        <w:drawing>
          <wp:inline distT="0" distB="0" distL="0" distR="0">
            <wp:extent cx="9251950" cy="5474426"/>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251950" cy="5474426"/>
                    </a:xfrm>
                    <a:prstGeom prst="rect">
                      <a:avLst/>
                    </a:prstGeom>
                    <a:noFill/>
                    <a:ln w="9525">
                      <a:noFill/>
                      <a:miter lim="800000"/>
                      <a:headEnd/>
                      <a:tailEnd/>
                    </a:ln>
                  </pic:spPr>
                </pic:pic>
              </a:graphicData>
            </a:graphic>
          </wp:inline>
        </w:drawing>
      </w:r>
    </w:p>
    <w:p w:rsidR="006D48E6" w:rsidRDefault="006D48E6" w:rsidP="006D48E6">
      <w:pPr>
        <w:tabs>
          <w:tab w:val="left" w:pos="2224"/>
        </w:tabs>
        <w:rPr>
          <w:rFonts w:ascii="Times New Roman" w:hAnsi="Times New Roman"/>
          <w:sz w:val="30"/>
          <w:lang w:val="ru-RU"/>
        </w:rPr>
      </w:pPr>
    </w:p>
    <w:p w:rsidR="006D48E6" w:rsidRDefault="006D48E6" w:rsidP="006D48E6">
      <w:pPr>
        <w:tabs>
          <w:tab w:val="left" w:pos="2224"/>
        </w:tabs>
        <w:rPr>
          <w:rFonts w:ascii="Times New Roman" w:hAnsi="Times New Roman"/>
          <w:sz w:val="30"/>
          <w:lang w:val="ru-RU"/>
        </w:rPr>
      </w:pPr>
    </w:p>
    <w:p w:rsidR="006D48E6" w:rsidRDefault="006D48E6" w:rsidP="006D48E6">
      <w:pPr>
        <w:tabs>
          <w:tab w:val="left" w:pos="2224"/>
        </w:tabs>
        <w:rPr>
          <w:rFonts w:ascii="Times New Roman" w:hAnsi="Times New Roman"/>
          <w:sz w:val="30"/>
          <w:lang w:val="ru-RU"/>
        </w:rPr>
      </w:pPr>
      <w:r w:rsidRPr="006D48E6">
        <w:rPr>
          <w:rFonts w:ascii="Times New Roman" w:hAnsi="Times New Roman"/>
          <w:sz w:val="30"/>
          <w:lang w:val="ru-RU"/>
        </w:rPr>
        <w:lastRenderedPageBreak/>
        <w:drawing>
          <wp:inline distT="0" distB="0" distL="0" distR="0">
            <wp:extent cx="9251950" cy="5889974"/>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251950" cy="5889974"/>
                    </a:xfrm>
                    <a:prstGeom prst="rect">
                      <a:avLst/>
                    </a:prstGeom>
                    <a:noFill/>
                    <a:ln w="9525">
                      <a:noFill/>
                      <a:miter lim="800000"/>
                      <a:headEnd/>
                      <a:tailEnd/>
                    </a:ln>
                  </pic:spPr>
                </pic:pic>
              </a:graphicData>
            </a:graphic>
          </wp:inline>
        </w:drawing>
      </w:r>
    </w:p>
    <w:p w:rsidR="006D48E6" w:rsidRDefault="006D48E6" w:rsidP="006D48E6">
      <w:pPr>
        <w:tabs>
          <w:tab w:val="left" w:pos="2224"/>
        </w:tabs>
        <w:rPr>
          <w:rFonts w:ascii="Times New Roman" w:hAnsi="Times New Roman"/>
          <w:sz w:val="30"/>
          <w:lang w:val="ru-RU"/>
        </w:rPr>
      </w:pPr>
    </w:p>
    <w:p w:rsidR="006D48E6" w:rsidRDefault="006D48E6" w:rsidP="006D48E6">
      <w:pPr>
        <w:tabs>
          <w:tab w:val="left" w:pos="2224"/>
        </w:tabs>
        <w:rPr>
          <w:rFonts w:ascii="Times New Roman" w:hAnsi="Times New Roman"/>
          <w:sz w:val="30"/>
          <w:lang w:val="ru-RU"/>
        </w:rPr>
      </w:pPr>
    </w:p>
    <w:p w:rsidR="006D48E6" w:rsidRDefault="006D48E6" w:rsidP="006D48E6">
      <w:pPr>
        <w:tabs>
          <w:tab w:val="left" w:pos="2224"/>
        </w:tabs>
        <w:rPr>
          <w:rFonts w:ascii="Times New Roman" w:hAnsi="Times New Roman"/>
          <w:sz w:val="30"/>
          <w:lang w:val="ru-RU"/>
        </w:rPr>
      </w:pPr>
      <w:r w:rsidRPr="006D48E6">
        <w:rPr>
          <w:rFonts w:ascii="Times New Roman" w:hAnsi="Times New Roman"/>
          <w:sz w:val="30"/>
          <w:lang w:val="ru-RU"/>
        </w:rPr>
        <w:lastRenderedPageBreak/>
        <w:drawing>
          <wp:inline distT="0" distB="0" distL="0" distR="0">
            <wp:extent cx="9251950" cy="5956378"/>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251950" cy="5956378"/>
                    </a:xfrm>
                    <a:prstGeom prst="rect">
                      <a:avLst/>
                    </a:prstGeom>
                    <a:noFill/>
                    <a:ln w="9525">
                      <a:noFill/>
                      <a:miter lim="800000"/>
                      <a:headEnd/>
                      <a:tailEnd/>
                    </a:ln>
                  </pic:spPr>
                </pic:pic>
              </a:graphicData>
            </a:graphic>
          </wp:inline>
        </w:drawing>
      </w:r>
    </w:p>
    <w:p w:rsidR="006D48E6" w:rsidRPr="006D48E6" w:rsidRDefault="006D48E6" w:rsidP="006D48E6">
      <w:pPr>
        <w:tabs>
          <w:tab w:val="left" w:pos="2224"/>
        </w:tabs>
        <w:jc w:val="center"/>
        <w:rPr>
          <w:rFonts w:ascii="Times New Roman" w:hAnsi="Times New Roman"/>
          <w:sz w:val="30"/>
          <w:lang w:val="ru-RU"/>
        </w:rPr>
      </w:pPr>
      <w:r w:rsidRPr="006D48E6">
        <w:rPr>
          <w:rFonts w:ascii="Times New Roman" w:hAnsi="Times New Roman"/>
          <w:sz w:val="30"/>
          <w:lang w:val="ru-RU"/>
        </w:rPr>
        <w:lastRenderedPageBreak/>
        <w:drawing>
          <wp:inline distT="0" distB="0" distL="0" distR="0">
            <wp:extent cx="4519071" cy="8139065"/>
            <wp:effectExtent l="1828800" t="0" r="1805529"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rot="16200000">
                      <a:off x="0" y="0"/>
                      <a:ext cx="4523196" cy="8146495"/>
                    </a:xfrm>
                    <a:prstGeom prst="rect">
                      <a:avLst/>
                    </a:prstGeom>
                    <a:noFill/>
                    <a:ln w="9525">
                      <a:noFill/>
                      <a:miter lim="800000"/>
                      <a:headEnd/>
                      <a:tailEnd/>
                    </a:ln>
                  </pic:spPr>
                </pic:pic>
              </a:graphicData>
            </a:graphic>
          </wp:inline>
        </w:drawing>
      </w:r>
    </w:p>
    <w:sectPr w:rsidR="006D48E6" w:rsidRPr="006D48E6" w:rsidSect="006D48E6">
      <w:pgSz w:w="16838" w:h="11906" w:orient="landscape"/>
      <w:pgMar w:top="993"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5690C"/>
    <w:multiLevelType w:val="hybridMultilevel"/>
    <w:tmpl w:val="15D25DD6"/>
    <w:lvl w:ilvl="0" w:tplc="D9C88D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5B50CA3"/>
    <w:multiLevelType w:val="multilevel"/>
    <w:tmpl w:val="F010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B21E2"/>
    <w:multiLevelType w:val="hybridMultilevel"/>
    <w:tmpl w:val="240077A6"/>
    <w:lvl w:ilvl="0" w:tplc="891800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00"/>
  <w:displayHorizontalDrawingGridEvery w:val="2"/>
  <w:characterSpacingControl w:val="doNotCompress"/>
  <w:compat/>
  <w:rsids>
    <w:rsidRoot w:val="00B53F46"/>
    <w:rsid w:val="00011ECB"/>
    <w:rsid w:val="00050FFA"/>
    <w:rsid w:val="00077511"/>
    <w:rsid w:val="00080CE8"/>
    <w:rsid w:val="000A698A"/>
    <w:rsid w:val="000B7AC0"/>
    <w:rsid w:val="000F584C"/>
    <w:rsid w:val="00130CA6"/>
    <w:rsid w:val="001351C0"/>
    <w:rsid w:val="00136962"/>
    <w:rsid w:val="00182334"/>
    <w:rsid w:val="00185C8B"/>
    <w:rsid w:val="00192359"/>
    <w:rsid w:val="001B4539"/>
    <w:rsid w:val="001C0E49"/>
    <w:rsid w:val="001D22AF"/>
    <w:rsid w:val="00226C73"/>
    <w:rsid w:val="0023279F"/>
    <w:rsid w:val="002331DF"/>
    <w:rsid w:val="00233632"/>
    <w:rsid w:val="00235D50"/>
    <w:rsid w:val="0024085A"/>
    <w:rsid w:val="002472BA"/>
    <w:rsid w:val="00253DC0"/>
    <w:rsid w:val="002874B6"/>
    <w:rsid w:val="002C21E1"/>
    <w:rsid w:val="002D1B07"/>
    <w:rsid w:val="002E3ABA"/>
    <w:rsid w:val="003063F3"/>
    <w:rsid w:val="00325281"/>
    <w:rsid w:val="00345F68"/>
    <w:rsid w:val="00372DBC"/>
    <w:rsid w:val="003E12BC"/>
    <w:rsid w:val="003E30F8"/>
    <w:rsid w:val="003E4BA9"/>
    <w:rsid w:val="003F2560"/>
    <w:rsid w:val="00407F7C"/>
    <w:rsid w:val="0046178C"/>
    <w:rsid w:val="00490957"/>
    <w:rsid w:val="004A3D34"/>
    <w:rsid w:val="004D7CAD"/>
    <w:rsid w:val="005077B3"/>
    <w:rsid w:val="005203AF"/>
    <w:rsid w:val="005A149E"/>
    <w:rsid w:val="005A7A14"/>
    <w:rsid w:val="005B628F"/>
    <w:rsid w:val="006956A3"/>
    <w:rsid w:val="006A0B75"/>
    <w:rsid w:val="006A5F5B"/>
    <w:rsid w:val="006D48E6"/>
    <w:rsid w:val="006E3CFB"/>
    <w:rsid w:val="006E760E"/>
    <w:rsid w:val="00704B18"/>
    <w:rsid w:val="00707807"/>
    <w:rsid w:val="00742119"/>
    <w:rsid w:val="0079123F"/>
    <w:rsid w:val="0079352A"/>
    <w:rsid w:val="00793FD0"/>
    <w:rsid w:val="00797482"/>
    <w:rsid w:val="007B06CE"/>
    <w:rsid w:val="007B1D35"/>
    <w:rsid w:val="007F350E"/>
    <w:rsid w:val="00806059"/>
    <w:rsid w:val="0081238A"/>
    <w:rsid w:val="00825798"/>
    <w:rsid w:val="00834F3F"/>
    <w:rsid w:val="00836E53"/>
    <w:rsid w:val="00842442"/>
    <w:rsid w:val="00851926"/>
    <w:rsid w:val="00876B47"/>
    <w:rsid w:val="008B20E2"/>
    <w:rsid w:val="00900B5B"/>
    <w:rsid w:val="00900B67"/>
    <w:rsid w:val="00914ACF"/>
    <w:rsid w:val="00961A23"/>
    <w:rsid w:val="00974DD6"/>
    <w:rsid w:val="009B34DE"/>
    <w:rsid w:val="009C7CC8"/>
    <w:rsid w:val="009F6A7E"/>
    <w:rsid w:val="00A300B1"/>
    <w:rsid w:val="00A3397A"/>
    <w:rsid w:val="00A4463A"/>
    <w:rsid w:val="00A673CC"/>
    <w:rsid w:val="00A7306E"/>
    <w:rsid w:val="00A809D5"/>
    <w:rsid w:val="00A84804"/>
    <w:rsid w:val="00AA2290"/>
    <w:rsid w:val="00AB2003"/>
    <w:rsid w:val="00AC21DC"/>
    <w:rsid w:val="00B15943"/>
    <w:rsid w:val="00B23409"/>
    <w:rsid w:val="00B327F2"/>
    <w:rsid w:val="00B53F46"/>
    <w:rsid w:val="00B67065"/>
    <w:rsid w:val="00B86861"/>
    <w:rsid w:val="00B92393"/>
    <w:rsid w:val="00BA0C47"/>
    <w:rsid w:val="00BB5C1E"/>
    <w:rsid w:val="00BB67B5"/>
    <w:rsid w:val="00BD4E23"/>
    <w:rsid w:val="00C15E3A"/>
    <w:rsid w:val="00C1742B"/>
    <w:rsid w:val="00C445D1"/>
    <w:rsid w:val="00C47BC4"/>
    <w:rsid w:val="00C556C1"/>
    <w:rsid w:val="00CA6F98"/>
    <w:rsid w:val="00CC2113"/>
    <w:rsid w:val="00CD6B81"/>
    <w:rsid w:val="00CD75E4"/>
    <w:rsid w:val="00CE2BAB"/>
    <w:rsid w:val="00D17E0B"/>
    <w:rsid w:val="00D40AC3"/>
    <w:rsid w:val="00D6727C"/>
    <w:rsid w:val="00D74AB2"/>
    <w:rsid w:val="00DA1E80"/>
    <w:rsid w:val="00DC24F9"/>
    <w:rsid w:val="00DE7FB4"/>
    <w:rsid w:val="00E670A2"/>
    <w:rsid w:val="00EC760C"/>
    <w:rsid w:val="00ED7FEC"/>
    <w:rsid w:val="00F02431"/>
    <w:rsid w:val="00F07BD5"/>
    <w:rsid w:val="00F11FC7"/>
    <w:rsid w:val="00F137E8"/>
    <w:rsid w:val="00F27048"/>
    <w:rsid w:val="00F62309"/>
    <w:rsid w:val="00F670C4"/>
    <w:rsid w:val="00F70D74"/>
    <w:rsid w:val="00FC14A8"/>
    <w:rsid w:val="00FE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67"/>
    <w:pPr>
      <w:spacing w:after="0" w:line="240" w:lineRule="auto"/>
    </w:pPr>
    <w:rPr>
      <w:rFonts w:ascii="Baltica" w:eastAsia="Times New Roman" w:hAnsi="Baltica" w:cs="Times New Roman"/>
      <w:sz w:val="20"/>
      <w:szCs w:val="20"/>
      <w:lang w:val="en-US" w:eastAsia="ru-RU"/>
    </w:rPr>
  </w:style>
  <w:style w:type="paragraph" w:styleId="6">
    <w:name w:val="heading 6"/>
    <w:basedOn w:val="a"/>
    <w:next w:val="a"/>
    <w:link w:val="60"/>
    <w:qFormat/>
    <w:rsid w:val="00900B67"/>
    <w:pPr>
      <w:keepNext/>
      <w:jc w:val="center"/>
      <w:outlineLvl w:val="5"/>
    </w:pPr>
    <w:rPr>
      <w:rFonts w:ascii="Times New Roman" w:hAnsi="Times New Roman"/>
      <w:b/>
      <w:caps/>
      <w:spacing w:val="6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00B67"/>
    <w:rPr>
      <w:rFonts w:ascii="Times New Roman" w:eastAsia="Times New Roman" w:hAnsi="Times New Roman" w:cs="Times New Roman"/>
      <w:b/>
      <w:caps/>
      <w:spacing w:val="60"/>
      <w:sz w:val="24"/>
      <w:szCs w:val="20"/>
      <w:lang w:eastAsia="ru-RU"/>
    </w:rPr>
  </w:style>
  <w:style w:type="paragraph" w:styleId="a3">
    <w:name w:val="footer"/>
    <w:basedOn w:val="a"/>
    <w:link w:val="a4"/>
    <w:rsid w:val="00900B67"/>
    <w:pPr>
      <w:tabs>
        <w:tab w:val="center" w:pos="4153"/>
        <w:tab w:val="right" w:pos="8306"/>
      </w:tabs>
    </w:pPr>
    <w:rPr>
      <w:rFonts w:ascii="Times New Roman" w:hAnsi="Times New Roman"/>
      <w:sz w:val="24"/>
      <w:lang w:val="ru-RU"/>
    </w:rPr>
  </w:style>
  <w:style w:type="character" w:customStyle="1" w:styleId="a4">
    <w:name w:val="Нижний колонтитул Знак"/>
    <w:basedOn w:val="a0"/>
    <w:link w:val="a3"/>
    <w:rsid w:val="00900B67"/>
    <w:rPr>
      <w:rFonts w:ascii="Times New Roman" w:eastAsia="Times New Roman" w:hAnsi="Times New Roman" w:cs="Times New Roman"/>
      <w:sz w:val="24"/>
      <w:szCs w:val="20"/>
      <w:lang w:eastAsia="ru-RU"/>
    </w:rPr>
  </w:style>
  <w:style w:type="paragraph" w:styleId="a5">
    <w:name w:val="Body Text Indent"/>
    <w:basedOn w:val="a"/>
    <w:link w:val="a6"/>
    <w:rsid w:val="00900B67"/>
    <w:pPr>
      <w:spacing w:after="120"/>
      <w:ind w:left="283"/>
    </w:pPr>
  </w:style>
  <w:style w:type="character" w:customStyle="1" w:styleId="a6">
    <w:name w:val="Основной текст с отступом Знак"/>
    <w:basedOn w:val="a0"/>
    <w:link w:val="a5"/>
    <w:rsid w:val="00900B67"/>
    <w:rPr>
      <w:rFonts w:ascii="Baltica" w:eastAsia="Times New Roman" w:hAnsi="Baltica" w:cs="Times New Roman"/>
      <w:sz w:val="20"/>
      <w:szCs w:val="20"/>
      <w:lang w:val="en-US" w:eastAsia="ru-RU"/>
    </w:rPr>
  </w:style>
  <w:style w:type="table" w:styleId="a7">
    <w:name w:val="Table Grid"/>
    <w:basedOn w:val="a1"/>
    <w:uiPriority w:val="59"/>
    <w:rsid w:val="0090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0">
    <w:name w:val="newncpi0"/>
    <w:basedOn w:val="a"/>
    <w:rsid w:val="00900B67"/>
    <w:pPr>
      <w:jc w:val="both"/>
    </w:pPr>
    <w:rPr>
      <w:rFonts w:ascii="Times New Roman" w:hAnsi="Times New Roman"/>
      <w:sz w:val="24"/>
      <w:szCs w:val="24"/>
      <w:lang w:val="ru-RU"/>
    </w:rPr>
  </w:style>
  <w:style w:type="paragraph" w:styleId="a8">
    <w:name w:val="Balloon Text"/>
    <w:basedOn w:val="a"/>
    <w:link w:val="a9"/>
    <w:uiPriority w:val="99"/>
    <w:semiHidden/>
    <w:unhideWhenUsed/>
    <w:rsid w:val="00900B67"/>
    <w:rPr>
      <w:rFonts w:ascii="Tahoma" w:hAnsi="Tahoma" w:cs="Tahoma"/>
      <w:sz w:val="16"/>
      <w:szCs w:val="16"/>
    </w:rPr>
  </w:style>
  <w:style w:type="character" w:customStyle="1" w:styleId="a9">
    <w:name w:val="Текст выноски Знак"/>
    <w:basedOn w:val="a0"/>
    <w:link w:val="a8"/>
    <w:uiPriority w:val="99"/>
    <w:semiHidden/>
    <w:rsid w:val="00900B67"/>
    <w:rPr>
      <w:rFonts w:ascii="Tahoma" w:eastAsia="Times New Roman" w:hAnsi="Tahoma" w:cs="Tahoma"/>
      <w:sz w:val="16"/>
      <w:szCs w:val="16"/>
      <w:lang w:val="en-US" w:eastAsia="ru-RU"/>
    </w:rPr>
  </w:style>
  <w:style w:type="paragraph" w:customStyle="1" w:styleId="aa">
    <w:name w:val="Знак Знак"/>
    <w:basedOn w:val="a"/>
    <w:rsid w:val="00136962"/>
    <w:pPr>
      <w:spacing w:after="160" w:line="240" w:lineRule="exact"/>
    </w:pPr>
    <w:rPr>
      <w:rFonts w:ascii="Arial" w:hAnsi="Arial" w:cs="Arial"/>
      <w:lang w:val="de-CH" w:eastAsia="de-CH"/>
    </w:rPr>
  </w:style>
  <w:style w:type="paragraph" w:styleId="ab">
    <w:name w:val="Normal (Web)"/>
    <w:basedOn w:val="a"/>
    <w:uiPriority w:val="99"/>
    <w:semiHidden/>
    <w:unhideWhenUsed/>
    <w:rsid w:val="00900B5B"/>
    <w:pPr>
      <w:spacing w:before="100" w:beforeAutospacing="1" w:after="100" w:afterAutospacing="1"/>
    </w:pPr>
    <w:rPr>
      <w:rFonts w:ascii="Times New Roman" w:hAnsi="Times New Roman"/>
      <w:sz w:val="24"/>
      <w:szCs w:val="24"/>
      <w:lang w:val="ru-RU"/>
    </w:rPr>
  </w:style>
  <w:style w:type="paragraph" w:customStyle="1" w:styleId="newncpi">
    <w:name w:val="newncpi"/>
    <w:basedOn w:val="a"/>
    <w:rsid w:val="00B23409"/>
    <w:pPr>
      <w:ind w:firstLine="567"/>
      <w:jc w:val="both"/>
    </w:pPr>
    <w:rPr>
      <w:rFonts w:ascii="Times New Roman" w:hAnsi="Times New Roman"/>
      <w:sz w:val="24"/>
      <w:szCs w:val="24"/>
      <w:lang w:val="ru-RU"/>
    </w:rPr>
  </w:style>
  <w:style w:type="paragraph" w:customStyle="1" w:styleId="point">
    <w:name w:val="point"/>
    <w:basedOn w:val="a"/>
    <w:rsid w:val="00B23409"/>
    <w:pPr>
      <w:ind w:firstLine="567"/>
      <w:jc w:val="both"/>
    </w:pPr>
    <w:rPr>
      <w:rFonts w:ascii="Times New Roman" w:hAnsi="Times New Roman"/>
      <w:sz w:val="24"/>
      <w:szCs w:val="24"/>
      <w:lang w:val="ru-RU"/>
    </w:rPr>
  </w:style>
  <w:style w:type="paragraph" w:styleId="2">
    <w:name w:val="Body Text 2"/>
    <w:basedOn w:val="a"/>
    <w:link w:val="20"/>
    <w:uiPriority w:val="99"/>
    <w:semiHidden/>
    <w:unhideWhenUsed/>
    <w:rsid w:val="00851926"/>
    <w:pPr>
      <w:spacing w:after="120" w:line="480" w:lineRule="auto"/>
    </w:pPr>
  </w:style>
  <w:style w:type="character" w:customStyle="1" w:styleId="20">
    <w:name w:val="Основной текст 2 Знак"/>
    <w:basedOn w:val="a0"/>
    <w:link w:val="2"/>
    <w:uiPriority w:val="99"/>
    <w:semiHidden/>
    <w:rsid w:val="00851926"/>
    <w:rPr>
      <w:rFonts w:ascii="Baltica" w:eastAsia="Times New Roman" w:hAnsi="Baltica" w:cs="Times New Roman"/>
      <w:sz w:val="20"/>
      <w:szCs w:val="20"/>
      <w:lang w:val="en-US" w:eastAsia="ru-RU"/>
    </w:rPr>
  </w:style>
  <w:style w:type="character" w:styleId="ac">
    <w:name w:val="Hyperlink"/>
    <w:semiHidden/>
    <w:unhideWhenUsed/>
    <w:rsid w:val="00851926"/>
    <w:rPr>
      <w:color w:val="0000FF"/>
      <w:u w:val="single"/>
    </w:rPr>
  </w:style>
  <w:style w:type="paragraph" w:styleId="ad">
    <w:name w:val="Body Text"/>
    <w:basedOn w:val="a"/>
    <w:link w:val="ae"/>
    <w:uiPriority w:val="99"/>
    <w:semiHidden/>
    <w:unhideWhenUsed/>
    <w:rsid w:val="00851926"/>
    <w:pPr>
      <w:spacing w:after="120"/>
    </w:pPr>
    <w:rPr>
      <w:rFonts w:ascii="Times New Roman" w:hAnsi="Times New Roman"/>
      <w:sz w:val="24"/>
      <w:szCs w:val="24"/>
      <w:lang w:val="ru-RU"/>
    </w:rPr>
  </w:style>
  <w:style w:type="character" w:customStyle="1" w:styleId="ae">
    <w:name w:val="Основной текст Знак"/>
    <w:basedOn w:val="a0"/>
    <w:link w:val="ad"/>
    <w:uiPriority w:val="99"/>
    <w:semiHidden/>
    <w:rsid w:val="00851926"/>
    <w:rPr>
      <w:rFonts w:ascii="Times New Roman" w:eastAsia="Times New Roman" w:hAnsi="Times New Roman" w:cs="Times New Roman"/>
      <w:sz w:val="24"/>
      <w:szCs w:val="24"/>
      <w:lang w:eastAsia="ru-RU"/>
    </w:rPr>
  </w:style>
  <w:style w:type="paragraph" w:styleId="af">
    <w:name w:val="List Paragraph"/>
    <w:basedOn w:val="a"/>
    <w:uiPriority w:val="34"/>
    <w:qFormat/>
    <w:rsid w:val="00851926"/>
    <w:pPr>
      <w:ind w:left="720" w:firstLine="709"/>
      <w:contextualSpacing/>
      <w:jc w:val="both"/>
    </w:pPr>
    <w:rPr>
      <w:rFonts w:ascii="Times New Roman" w:eastAsiaTheme="minorHAnsi" w:hAnsi="Times New Roman"/>
      <w:sz w:val="30"/>
      <w:szCs w:val="3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67"/>
    <w:pPr>
      <w:spacing w:after="0" w:line="240" w:lineRule="auto"/>
    </w:pPr>
    <w:rPr>
      <w:rFonts w:ascii="Baltica" w:eastAsia="Times New Roman" w:hAnsi="Baltica" w:cs="Times New Roman"/>
      <w:sz w:val="20"/>
      <w:szCs w:val="20"/>
      <w:lang w:val="en-US" w:eastAsia="ru-RU"/>
    </w:rPr>
  </w:style>
  <w:style w:type="paragraph" w:styleId="6">
    <w:name w:val="heading 6"/>
    <w:basedOn w:val="a"/>
    <w:next w:val="a"/>
    <w:link w:val="60"/>
    <w:qFormat/>
    <w:rsid w:val="00900B67"/>
    <w:pPr>
      <w:keepNext/>
      <w:jc w:val="center"/>
      <w:outlineLvl w:val="5"/>
    </w:pPr>
    <w:rPr>
      <w:rFonts w:ascii="Times New Roman" w:hAnsi="Times New Roman"/>
      <w:b/>
      <w:caps/>
      <w:spacing w:val="60"/>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00B67"/>
    <w:rPr>
      <w:rFonts w:ascii="Times New Roman" w:eastAsia="Times New Roman" w:hAnsi="Times New Roman" w:cs="Times New Roman"/>
      <w:b/>
      <w:caps/>
      <w:spacing w:val="60"/>
      <w:sz w:val="24"/>
      <w:szCs w:val="20"/>
      <w:lang w:eastAsia="ru-RU"/>
    </w:rPr>
  </w:style>
  <w:style w:type="paragraph" w:styleId="a3">
    <w:name w:val="footer"/>
    <w:basedOn w:val="a"/>
    <w:link w:val="a4"/>
    <w:rsid w:val="00900B67"/>
    <w:pPr>
      <w:tabs>
        <w:tab w:val="center" w:pos="4153"/>
        <w:tab w:val="right" w:pos="8306"/>
      </w:tabs>
    </w:pPr>
    <w:rPr>
      <w:rFonts w:ascii="Times New Roman" w:hAnsi="Times New Roman"/>
      <w:sz w:val="24"/>
      <w:lang w:val="ru-RU"/>
    </w:rPr>
  </w:style>
  <w:style w:type="character" w:customStyle="1" w:styleId="a4">
    <w:name w:val="Нижний колонтитул Знак"/>
    <w:basedOn w:val="a0"/>
    <w:link w:val="a3"/>
    <w:rsid w:val="00900B67"/>
    <w:rPr>
      <w:rFonts w:ascii="Times New Roman" w:eastAsia="Times New Roman" w:hAnsi="Times New Roman" w:cs="Times New Roman"/>
      <w:sz w:val="24"/>
      <w:szCs w:val="20"/>
      <w:lang w:eastAsia="ru-RU"/>
    </w:rPr>
  </w:style>
  <w:style w:type="paragraph" w:styleId="a5">
    <w:name w:val="Body Text Indent"/>
    <w:basedOn w:val="a"/>
    <w:link w:val="a6"/>
    <w:rsid w:val="00900B67"/>
    <w:pPr>
      <w:spacing w:after="120"/>
      <w:ind w:left="283"/>
    </w:pPr>
  </w:style>
  <w:style w:type="character" w:customStyle="1" w:styleId="a6">
    <w:name w:val="Основной текст с отступом Знак"/>
    <w:basedOn w:val="a0"/>
    <w:link w:val="a5"/>
    <w:rsid w:val="00900B67"/>
    <w:rPr>
      <w:rFonts w:ascii="Baltica" w:eastAsia="Times New Roman" w:hAnsi="Baltica" w:cs="Times New Roman"/>
      <w:sz w:val="20"/>
      <w:szCs w:val="20"/>
      <w:lang w:val="en-US" w:eastAsia="ru-RU"/>
    </w:rPr>
  </w:style>
  <w:style w:type="table" w:styleId="a7">
    <w:name w:val="Table Grid"/>
    <w:basedOn w:val="a1"/>
    <w:uiPriority w:val="59"/>
    <w:rsid w:val="00900B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0">
    <w:name w:val="newncpi0"/>
    <w:basedOn w:val="a"/>
    <w:rsid w:val="00900B67"/>
    <w:pPr>
      <w:jc w:val="both"/>
    </w:pPr>
    <w:rPr>
      <w:rFonts w:ascii="Times New Roman" w:hAnsi="Times New Roman"/>
      <w:sz w:val="24"/>
      <w:szCs w:val="24"/>
      <w:lang w:val="ru-RU"/>
    </w:rPr>
  </w:style>
  <w:style w:type="paragraph" w:styleId="a8">
    <w:name w:val="Balloon Text"/>
    <w:basedOn w:val="a"/>
    <w:link w:val="a9"/>
    <w:uiPriority w:val="99"/>
    <w:semiHidden/>
    <w:unhideWhenUsed/>
    <w:rsid w:val="00900B67"/>
    <w:rPr>
      <w:rFonts w:ascii="Tahoma" w:hAnsi="Tahoma" w:cs="Tahoma"/>
      <w:sz w:val="16"/>
      <w:szCs w:val="16"/>
    </w:rPr>
  </w:style>
  <w:style w:type="character" w:customStyle="1" w:styleId="a9">
    <w:name w:val="Текст выноски Знак"/>
    <w:basedOn w:val="a0"/>
    <w:link w:val="a8"/>
    <w:uiPriority w:val="99"/>
    <w:semiHidden/>
    <w:rsid w:val="00900B67"/>
    <w:rPr>
      <w:rFonts w:ascii="Tahoma" w:eastAsia="Times New Roman" w:hAnsi="Tahoma" w:cs="Tahoma"/>
      <w:sz w:val="16"/>
      <w:szCs w:val="16"/>
      <w:lang w:val="en-US" w:eastAsia="ru-RU"/>
    </w:rPr>
  </w:style>
  <w:style w:type="paragraph" w:customStyle="1" w:styleId="aa">
    <w:name w:val="Знак Знак"/>
    <w:basedOn w:val="a"/>
    <w:rsid w:val="00136962"/>
    <w:pPr>
      <w:spacing w:after="160" w:line="240" w:lineRule="exact"/>
    </w:pPr>
    <w:rPr>
      <w:rFonts w:ascii="Arial" w:hAnsi="Arial" w:cs="Arial"/>
      <w:lang w:val="de-CH" w:eastAsia="de-CH"/>
    </w:rPr>
  </w:style>
  <w:style w:type="paragraph" w:styleId="ab">
    <w:name w:val="Normal (Web)"/>
    <w:basedOn w:val="a"/>
    <w:uiPriority w:val="99"/>
    <w:semiHidden/>
    <w:unhideWhenUsed/>
    <w:rsid w:val="00900B5B"/>
    <w:pPr>
      <w:spacing w:before="100" w:beforeAutospacing="1" w:after="100" w:afterAutospacing="1"/>
    </w:pPr>
    <w:rPr>
      <w:rFonts w:ascii="Times New Roman" w:hAnsi="Times New Roman"/>
      <w:sz w:val="24"/>
      <w:szCs w:val="24"/>
      <w:lang w:val="ru-RU"/>
    </w:rPr>
  </w:style>
  <w:style w:type="paragraph" w:customStyle="1" w:styleId="newncpi">
    <w:name w:val="newncpi"/>
    <w:basedOn w:val="a"/>
    <w:rsid w:val="00B23409"/>
    <w:pPr>
      <w:ind w:firstLine="567"/>
      <w:jc w:val="both"/>
    </w:pPr>
    <w:rPr>
      <w:rFonts w:ascii="Times New Roman" w:hAnsi="Times New Roman"/>
      <w:sz w:val="24"/>
      <w:szCs w:val="24"/>
      <w:lang w:val="ru-RU"/>
    </w:rPr>
  </w:style>
  <w:style w:type="paragraph" w:customStyle="1" w:styleId="point">
    <w:name w:val="point"/>
    <w:basedOn w:val="a"/>
    <w:rsid w:val="00B23409"/>
    <w:pPr>
      <w:ind w:firstLine="567"/>
      <w:jc w:val="both"/>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923876268">
      <w:bodyDiv w:val="1"/>
      <w:marLeft w:val="0"/>
      <w:marRight w:val="0"/>
      <w:marTop w:val="0"/>
      <w:marBottom w:val="0"/>
      <w:divBdr>
        <w:top w:val="none" w:sz="0" w:space="0" w:color="auto"/>
        <w:left w:val="none" w:sz="0" w:space="0" w:color="auto"/>
        <w:bottom w:val="none" w:sz="0" w:space="0" w:color="auto"/>
        <w:right w:val="none" w:sz="0" w:space="0" w:color="auto"/>
      </w:divBdr>
    </w:div>
    <w:div w:id="1041633607">
      <w:bodyDiv w:val="1"/>
      <w:marLeft w:val="0"/>
      <w:marRight w:val="0"/>
      <w:marTop w:val="0"/>
      <w:marBottom w:val="0"/>
      <w:divBdr>
        <w:top w:val="none" w:sz="0" w:space="0" w:color="auto"/>
        <w:left w:val="none" w:sz="0" w:space="0" w:color="auto"/>
        <w:bottom w:val="none" w:sz="0" w:space="0" w:color="auto"/>
        <w:right w:val="none" w:sz="0" w:space="0" w:color="auto"/>
      </w:divBdr>
    </w:div>
    <w:div w:id="16226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B966-3622-4B76-8FD6-D9311804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ГОУ ДГИТ</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c:creator>
  <cp:lastModifiedBy>O.Kletskova</cp:lastModifiedBy>
  <cp:revision>3</cp:revision>
  <cp:lastPrinted>2019-07-25T08:51:00Z</cp:lastPrinted>
  <dcterms:created xsi:type="dcterms:W3CDTF">2019-07-29T13:14:00Z</dcterms:created>
  <dcterms:modified xsi:type="dcterms:W3CDTF">2019-07-30T08:29:00Z</dcterms:modified>
</cp:coreProperties>
</file>